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2C" w:rsidRDefault="00D01E2C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D01E2C" w:rsidRDefault="00D01E2C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r w:rsidRPr="00BB62F7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62F7">
        <w:rPr>
          <w:rFonts w:ascii="Times New Roman" w:hAnsi="Times New Roman" w:cs="Times New Roman"/>
          <w:sz w:val="24"/>
          <w:szCs w:val="24"/>
        </w:rPr>
        <w:t xml:space="preserve"> основных мероприятий на 2018 – 2020 годы, посвященных проведению на территории города Лангепаса </w:t>
      </w:r>
    </w:p>
    <w:p w:rsidR="00D01E2C" w:rsidRDefault="00D01E2C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2F7">
        <w:rPr>
          <w:rFonts w:ascii="Times New Roman" w:hAnsi="Times New Roman" w:cs="Times New Roman"/>
          <w:sz w:val="24"/>
          <w:szCs w:val="24"/>
        </w:rPr>
        <w:t>Десятилетия детства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ЛГ МАОУ «Гимназия №6»</w:t>
      </w:r>
    </w:p>
    <w:p w:rsidR="00D01E2C" w:rsidRPr="00BB62F7" w:rsidRDefault="00D01E2C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976"/>
        <w:gridCol w:w="1560"/>
        <w:gridCol w:w="1842"/>
        <w:gridCol w:w="3402"/>
        <w:gridCol w:w="4503"/>
      </w:tblGrid>
      <w:tr w:rsidR="00D01E2C" w:rsidRPr="008C5EFF">
        <w:tc>
          <w:tcPr>
            <w:tcW w:w="1101" w:type="dxa"/>
          </w:tcPr>
          <w:p w:rsidR="00D01E2C" w:rsidRPr="008C5EFF" w:rsidRDefault="00D01E2C" w:rsidP="008C5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№ п. п. в плане</w:t>
            </w:r>
          </w:p>
        </w:tc>
        <w:tc>
          <w:tcPr>
            <w:tcW w:w="2976" w:type="dxa"/>
          </w:tcPr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</w:tcPr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503" w:type="dxa"/>
          </w:tcPr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Информация по исполнению</w:t>
            </w:r>
          </w:p>
        </w:tc>
      </w:tr>
      <w:tr w:rsidR="00D01E2C" w:rsidRPr="008C5EFF">
        <w:tc>
          <w:tcPr>
            <w:tcW w:w="1101" w:type="dxa"/>
          </w:tcPr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Акция «Месяц безопасного Интернета»</w:t>
            </w:r>
          </w:p>
        </w:tc>
        <w:tc>
          <w:tcPr>
            <w:tcW w:w="1560" w:type="dxa"/>
          </w:tcPr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март–апрель 2018 года</w:t>
            </w:r>
          </w:p>
        </w:tc>
        <w:tc>
          <w:tcPr>
            <w:tcW w:w="1842" w:type="dxa"/>
          </w:tcPr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3402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не менее 60% обучающихся образовательных организаций автономного округа ежегодно</w:t>
            </w:r>
          </w:p>
        </w:tc>
        <w:tc>
          <w:tcPr>
            <w:tcW w:w="4503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В рамках Акции «Месяц безопасного  Интернета», с 19.03. по 04.04.2018г. были проведены тематические уроки информатики и классные беседы – инструктажи с обучающимися 1-11 классов, охват составил 892 чел. (100%)</w:t>
            </w:r>
          </w:p>
        </w:tc>
      </w:tr>
      <w:tr w:rsidR="00D01E2C" w:rsidRPr="008C5EFF">
        <w:tc>
          <w:tcPr>
            <w:tcW w:w="1101" w:type="dxa"/>
          </w:tcPr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6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родителей основам детской психологии и педагогики по программе «Югорская семья – компетентные родители», направленной на повышение общественного престижа семейного образа жизни, 8 традиционных семейных ценностей и ответст. родительства </w:t>
            </w:r>
          </w:p>
        </w:tc>
        <w:tc>
          <w:tcPr>
            <w:tcW w:w="1560" w:type="dxa"/>
          </w:tcPr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1842" w:type="dxa"/>
          </w:tcPr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3402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Обучение не менее 50% родителей (законных представителей) обучающихся образовательных организаций города основам детской психологии и педагогики по программе «Югорская семья – компетентные родители» к концу 2019–2020 учебного года</w:t>
            </w:r>
          </w:p>
        </w:tc>
        <w:tc>
          <w:tcPr>
            <w:tcW w:w="4503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Изучение  программы и подготовка специалистов для работы по программе обучения родителей основам детской психологии и педагогики по программе «Югорская семья – компетентные родители». Программа планируется к  реализации в 2018-2019 учебном году.</w:t>
            </w:r>
          </w:p>
        </w:tc>
      </w:tr>
      <w:tr w:rsidR="00D01E2C" w:rsidRPr="008C5EFF">
        <w:tc>
          <w:tcPr>
            <w:tcW w:w="1101" w:type="dxa"/>
          </w:tcPr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6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«Шахматное образование»</w:t>
            </w:r>
          </w:p>
        </w:tc>
        <w:tc>
          <w:tcPr>
            <w:tcW w:w="1560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  <w:tc>
          <w:tcPr>
            <w:tcW w:w="1842" w:type="dxa"/>
          </w:tcPr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ДОУ, ООУ</w:t>
            </w:r>
          </w:p>
        </w:tc>
        <w:tc>
          <w:tcPr>
            <w:tcW w:w="3402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Введение к концу 2019 –2020 уч. года шахматного образования в 100% организациях дошкольного и общего образования</w:t>
            </w:r>
          </w:p>
        </w:tc>
        <w:tc>
          <w:tcPr>
            <w:tcW w:w="4503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в школе охвачено шахматным образованием обучающиеся 1-7 классов в количестве 445 чел. - 50%</w:t>
            </w:r>
          </w:p>
        </w:tc>
      </w:tr>
      <w:tr w:rsidR="00D01E2C" w:rsidRPr="008C5EFF">
        <w:tc>
          <w:tcPr>
            <w:tcW w:w="1101" w:type="dxa"/>
          </w:tcPr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6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 условий для двигательной активности обучающихся в образовательном процессе</w:t>
            </w:r>
          </w:p>
        </w:tc>
        <w:tc>
          <w:tcPr>
            <w:tcW w:w="1560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 xml:space="preserve">май 2018 года, </w:t>
            </w:r>
          </w:p>
        </w:tc>
        <w:tc>
          <w:tcPr>
            <w:tcW w:w="1842" w:type="dxa"/>
          </w:tcPr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  <w:tc>
          <w:tcPr>
            <w:tcW w:w="3402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К концу 2020 года не менее чем в 50% обще-образовательных организаций города будут созданы условия для двигательной активности, в том числе зоны физической активности и естественных движений (в холлах, коридорах образовательных организаций и на территориях), обеспечивающие обучающимся возможность заниматься игровыми подвижными видами деятельности (теннисные столы, игровые стенды, зоны ритмики и танца) в период отдыха (перемены); ежедневно в течение учебного времени будет организовано проведение общешкольных (общеклассных) физкультурных перемен, часов двигательной активности, проводимых совместно с педагогическими работниками</w:t>
            </w:r>
          </w:p>
        </w:tc>
        <w:tc>
          <w:tcPr>
            <w:tcW w:w="4503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В школе силами школьного детского  самоуправления для обучающихся 1-4 классов проводятся игровые «Динамические перемены» обеспечивающие обучающимся начальных классов и детей 5-6 классов возможность заниматься игровыми подвижными видами деятельности (шахматная доска в увеличенном размере, игровая комната, зоны ритмики и танца в холле I этажа школы) в период отдыха (перемены), охват составляет 394 чел.</w:t>
            </w:r>
          </w:p>
        </w:tc>
      </w:tr>
      <w:tr w:rsidR="00D01E2C" w:rsidRPr="008C5EFF">
        <w:tc>
          <w:tcPr>
            <w:tcW w:w="1101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6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развитие и закрепление культурно – гигиенических навыков и навыков культуры здорового питания у обучающихся организаций дошкольного и общего образования </w:t>
            </w:r>
          </w:p>
        </w:tc>
        <w:tc>
          <w:tcPr>
            <w:tcW w:w="1560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  <w:tc>
          <w:tcPr>
            <w:tcW w:w="1842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ДОУ, ООУ</w:t>
            </w:r>
          </w:p>
        </w:tc>
        <w:tc>
          <w:tcPr>
            <w:tcW w:w="3402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К концу 2019–2020 года в каждой образовательной организации общего и дошкольного образования с учетом возрастных особенностей детей будут реализованы программы, направленные на формирование культуры здорового питания, информационно– просветительскую работу с родителями; привлечение родительской общественности к контролю за организацией в образовательных организациях, полноценного и сбалансированного по основным пищевым веществам питания, обеспечивающего нормальный рост и развитие детского организма, оказывающего существенное влияние на резистентность и иммунитет ребенка по отношению к различным заболеваниям, повышающего его работоспособность и выносливость, способствующего оптимальному нервно–психическому развитию</w:t>
            </w:r>
          </w:p>
        </w:tc>
        <w:tc>
          <w:tcPr>
            <w:tcW w:w="4503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В гимназии создан Центр Здоровья, формирующий представление о здоровом образе жизни и гигиенических навыках и культуры здорового питания у обучающихся.</w:t>
            </w:r>
          </w:p>
        </w:tc>
      </w:tr>
      <w:tr w:rsidR="00D01E2C" w:rsidRPr="008C5EFF">
        <w:tc>
          <w:tcPr>
            <w:tcW w:w="1101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2976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Введение программы духовно– нравственного воспитания «Социокультурные истоки» в образовательные программы дошкольных образовательных организаций и общеобразовательных организаций автономного округа</w:t>
            </w:r>
          </w:p>
        </w:tc>
        <w:tc>
          <w:tcPr>
            <w:tcW w:w="1560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  <w:tc>
          <w:tcPr>
            <w:tcW w:w="1842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ДОиМП, ДОУ, ООУ</w:t>
            </w:r>
          </w:p>
        </w:tc>
        <w:tc>
          <w:tcPr>
            <w:tcW w:w="3402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К концу 2019–2020 учебного года 100% обучающихся дошкольных образовательных организаций и 1–4 классов общеобразовательных организаций будут включены в обучение по программе</w:t>
            </w:r>
          </w:p>
        </w:tc>
        <w:tc>
          <w:tcPr>
            <w:tcW w:w="4503" w:type="dxa"/>
          </w:tcPr>
          <w:p w:rsidR="00D01E2C" w:rsidRPr="008C5EFF" w:rsidRDefault="00D01E2C" w:rsidP="008C5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В 2017-2018 учебном году, согласно Закону Ханты-Мансийского автономного округа – Югры от 09.12.2015 № 130-03 «О гражданско-патриотическом воспитании в Ханты-Мансийском автономном округе – Югре»; Постановления Правительства Ханты-Мансийского автономного округа – Югры от 09.10.2013 года № 413-п «О государственной программе Ханты-Мансийского автономного округа – Югры «Развитие образования в Ханты-Мансийском автономном округе – Югре на 2014-2020 годы»; Распоряжения правительства Ханты-Мансийского автономного округа – Югры от 29.12.2014 года № 747-рп «О Концепции гражданско-патриотического воспитания граждан Ханты-Мансийского автономного округа – Югры», введены курсы в рамках занятий внеурочной деятельности по духовно-нравственному воспитанию обучающихся «Социокультурные истоки» для 1-4 классов и курс духовно-нравственного воспитания «Истоки», для обучающихся 5-7 классов, на сегодня охват данными курсами составляет 407 чел.</w:t>
            </w:r>
          </w:p>
        </w:tc>
      </w:tr>
      <w:tr w:rsidR="00D01E2C" w:rsidRPr="008C5EFF">
        <w:tc>
          <w:tcPr>
            <w:tcW w:w="1101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Международному дню детского «Телефона доверия» с единым общероссийским номером </w:t>
            </w:r>
          </w:p>
        </w:tc>
        <w:tc>
          <w:tcPr>
            <w:tcW w:w="1560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  <w:tc>
          <w:tcPr>
            <w:tcW w:w="3402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6 мероприятий на улицах города, 18 тематических родительских собраний </w:t>
            </w:r>
          </w:p>
        </w:tc>
        <w:tc>
          <w:tcPr>
            <w:tcW w:w="4503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I полугодия 2018г. в гимназии проведены 2 общешкольных, 37 классных родительских собраний (охват составил 867 чел.) с информацией по Международному дню детского «Телефона доверия» с единым общероссийским номером и 1 мероприятие раздача листовок – памяток «Детский телефон доверия» (100 шт.) с участием обучающихся гимназии. </w:t>
            </w:r>
          </w:p>
        </w:tc>
      </w:tr>
      <w:tr w:rsidR="00D01E2C" w:rsidRPr="008C5EFF">
        <w:tc>
          <w:tcPr>
            <w:tcW w:w="1101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2976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детей, в том числе детей–сирот и детей, оставшихся без попечения родителей, детей – инвалидов, а также их родителей, законных представителей,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560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 xml:space="preserve">июнь 2018 года </w:t>
            </w:r>
          </w:p>
        </w:tc>
        <w:tc>
          <w:tcPr>
            <w:tcW w:w="1842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  <w:tc>
          <w:tcPr>
            <w:tcW w:w="3402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ежегодно не менее 2000 детей, их родителей, законных представителей; формирование у подрастающего поколения навыков грамотного поведения в различных жизненных ситуациях</w:t>
            </w:r>
          </w:p>
        </w:tc>
        <w:tc>
          <w:tcPr>
            <w:tcW w:w="4503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Школьная социальная и психологическая служба вела дополнительные консультации по правовому просвещение детей, в том числе детей–сирот и детей, оставшихся без попечения родителей, детей – инвалидов, а также их родителей, законных представителей, в дни проведения мероприятий, посвященных Международному дню защиты детей. Информация по данной помощи была озвучена на общешкольном родительском собрании 17 -18.05.2018г.</w:t>
            </w:r>
          </w:p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2C" w:rsidRPr="008C5EFF">
        <w:tc>
          <w:tcPr>
            <w:tcW w:w="1101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2976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Участие в окружном слете юных натуралистов при проведении летнего Форум–центра автономного округа</w:t>
            </w:r>
          </w:p>
        </w:tc>
        <w:tc>
          <w:tcPr>
            <w:tcW w:w="1560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июнь–август 2018 года</w:t>
            </w:r>
          </w:p>
        </w:tc>
        <w:tc>
          <w:tcPr>
            <w:tcW w:w="1842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ДОиМП, ОЭПРиНС, ООУ</w:t>
            </w:r>
          </w:p>
        </w:tc>
        <w:tc>
          <w:tcPr>
            <w:tcW w:w="3402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согласно приглашению организаторов мероприятия</w:t>
            </w:r>
          </w:p>
        </w:tc>
        <w:tc>
          <w:tcPr>
            <w:tcW w:w="4503" w:type="dxa"/>
          </w:tcPr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сроки отчетности не наступили</w:t>
            </w:r>
          </w:p>
        </w:tc>
      </w:tr>
      <w:tr w:rsidR="00D01E2C" w:rsidRPr="008C5EFF">
        <w:tc>
          <w:tcPr>
            <w:tcW w:w="1101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2976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специальных уроков для первоклассников по воспитанию и формированию у обучающихся правильной рабочей позы за школьной партой</w:t>
            </w:r>
          </w:p>
        </w:tc>
        <w:tc>
          <w:tcPr>
            <w:tcW w:w="1560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года </w:t>
            </w:r>
          </w:p>
        </w:tc>
        <w:tc>
          <w:tcPr>
            <w:tcW w:w="1842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  <w:tc>
          <w:tcPr>
            <w:tcW w:w="3402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100% обеспечение первоклассников специальными уроками по воспитанию и формированию у обучающихся правильной рабочей позы за школьной партой, проведение уроков осуществляется не реже 1 раза в месяц в течение учебного года (ежегодно)</w:t>
            </w:r>
          </w:p>
        </w:tc>
        <w:tc>
          <w:tcPr>
            <w:tcW w:w="4503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сроки отчетности не наступили</w:t>
            </w:r>
          </w:p>
        </w:tc>
      </w:tr>
      <w:tr w:rsidR="00D01E2C" w:rsidRPr="008C5EFF">
        <w:tc>
          <w:tcPr>
            <w:tcW w:w="1101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76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Участие в открытом окружном слете школьных лесничеств «Сохраним цветущий мир Югры»</w:t>
            </w:r>
          </w:p>
        </w:tc>
        <w:tc>
          <w:tcPr>
            <w:tcW w:w="1560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Сентябрь 2018 года, сентябрь 2019 года, сентябрь 2020 года</w:t>
            </w:r>
          </w:p>
        </w:tc>
        <w:tc>
          <w:tcPr>
            <w:tcW w:w="1842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ДОиМП, ОЭПРиНС, ООУ</w:t>
            </w:r>
          </w:p>
        </w:tc>
        <w:tc>
          <w:tcPr>
            <w:tcW w:w="3402" w:type="dxa"/>
          </w:tcPr>
          <w:p w:rsidR="00D01E2C" w:rsidRPr="008C5EFF" w:rsidRDefault="00D01E2C" w:rsidP="008C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мпередового опыта школьных лесничеств города</w:t>
            </w:r>
          </w:p>
        </w:tc>
        <w:tc>
          <w:tcPr>
            <w:tcW w:w="4503" w:type="dxa"/>
          </w:tcPr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E2C" w:rsidRPr="008C5EFF" w:rsidRDefault="00D01E2C" w:rsidP="008C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F">
              <w:rPr>
                <w:rFonts w:ascii="Times New Roman" w:hAnsi="Times New Roman" w:cs="Times New Roman"/>
                <w:sz w:val="24"/>
                <w:szCs w:val="24"/>
              </w:rPr>
              <w:t>сроки отчетности не наступили</w:t>
            </w:r>
          </w:p>
        </w:tc>
      </w:tr>
    </w:tbl>
    <w:p w:rsidR="00D01E2C" w:rsidRPr="00BB62F7" w:rsidRDefault="00D01E2C">
      <w:pPr>
        <w:rPr>
          <w:rFonts w:ascii="Times New Roman" w:hAnsi="Times New Roman" w:cs="Times New Roman"/>
          <w:sz w:val="24"/>
          <w:szCs w:val="24"/>
        </w:rPr>
      </w:pPr>
    </w:p>
    <w:sectPr w:rsidR="00D01E2C" w:rsidRPr="00BB62F7" w:rsidSect="00EF5521">
      <w:pgSz w:w="16838" w:h="11906" w:orient="landscape"/>
      <w:pgMar w:top="568" w:right="53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886"/>
    <w:rsid w:val="000E2B80"/>
    <w:rsid w:val="00122051"/>
    <w:rsid w:val="001B6D33"/>
    <w:rsid w:val="001E5C24"/>
    <w:rsid w:val="002623E6"/>
    <w:rsid w:val="002C2B8D"/>
    <w:rsid w:val="003A307B"/>
    <w:rsid w:val="00456886"/>
    <w:rsid w:val="00714915"/>
    <w:rsid w:val="007C4540"/>
    <w:rsid w:val="007E5918"/>
    <w:rsid w:val="008C5EFF"/>
    <w:rsid w:val="009406AD"/>
    <w:rsid w:val="009832CC"/>
    <w:rsid w:val="00A30046"/>
    <w:rsid w:val="00A96BF8"/>
    <w:rsid w:val="00B90E30"/>
    <w:rsid w:val="00BA377F"/>
    <w:rsid w:val="00BB22F1"/>
    <w:rsid w:val="00BB62F7"/>
    <w:rsid w:val="00C141C9"/>
    <w:rsid w:val="00D01E2C"/>
    <w:rsid w:val="00DC7998"/>
    <w:rsid w:val="00EA43B9"/>
    <w:rsid w:val="00EC0482"/>
    <w:rsid w:val="00EC3D55"/>
    <w:rsid w:val="00EF5521"/>
    <w:rsid w:val="00F9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7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2B8D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2B8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B8D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B8D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B22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F5521"/>
    <w:rPr>
      <w:color w:val="0000FF"/>
      <w:u w:val="single"/>
    </w:rPr>
  </w:style>
  <w:style w:type="character" w:customStyle="1" w:styleId="b-serp-urlitem">
    <w:name w:val="b-serp-url__item"/>
    <w:basedOn w:val="DefaultParagraphFont"/>
    <w:uiPriority w:val="99"/>
    <w:rsid w:val="00EF5521"/>
  </w:style>
  <w:style w:type="paragraph" w:styleId="BalloonText">
    <w:name w:val="Balloon Text"/>
    <w:basedOn w:val="Normal"/>
    <w:link w:val="BalloonTextChar"/>
    <w:uiPriority w:val="99"/>
    <w:semiHidden/>
    <w:rsid w:val="002C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1173</Words>
  <Characters>6692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2018-07-02T17:58:00Z</dcterms:created>
  <dcterms:modified xsi:type="dcterms:W3CDTF">2018-07-10T04:40:00Z</dcterms:modified>
</cp:coreProperties>
</file>